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9" w:rsidRPr="00C84D86" w:rsidRDefault="00A23A49" w:rsidP="000178BB">
      <w:pPr>
        <w:jc w:val="both"/>
        <w:rPr>
          <w:rFonts w:ascii="Arial" w:hAnsi="Arial" w:cs="Arial"/>
        </w:rPr>
      </w:pPr>
      <w:bookmarkStart w:id="0" w:name="_GoBack"/>
      <w:bookmarkEnd w:id="0"/>
    </w:p>
    <w:p w:rsidR="00A23A49" w:rsidRPr="00C84D86" w:rsidRDefault="00A23A49" w:rsidP="00A23A49">
      <w:pPr>
        <w:spacing w:after="200" w:line="276" w:lineRule="auto"/>
        <w:jc w:val="center"/>
        <w:rPr>
          <w:rFonts w:ascii="Arial" w:hAnsi="Arial" w:cs="Arial"/>
          <w:b/>
        </w:rPr>
      </w:pPr>
      <w:r w:rsidRPr="00C84D86">
        <w:rPr>
          <w:rFonts w:ascii="Arial" w:hAnsi="Arial" w:cs="Arial"/>
          <w:b/>
        </w:rPr>
        <w:t xml:space="preserve">ОТЧЕТ </w:t>
      </w:r>
      <w:r w:rsidRPr="00C84D86">
        <w:rPr>
          <w:rFonts w:ascii="Arial" w:hAnsi="Arial" w:cs="Arial"/>
          <w:b/>
        </w:rPr>
        <w:br/>
        <w:t xml:space="preserve">о выполнении  муниципальной программы   </w:t>
      </w:r>
      <w:r w:rsidRPr="00C84D86">
        <w:rPr>
          <w:rFonts w:ascii="Arial" w:hAnsi="Arial" w:cs="Arial"/>
          <w:b/>
        </w:rPr>
        <w:br/>
        <w:t xml:space="preserve">«Устойчивое развитие  территории Советского сельсовета </w:t>
      </w:r>
      <w:proofErr w:type="spellStart"/>
      <w:r w:rsidRPr="00C84D86">
        <w:rPr>
          <w:rFonts w:ascii="Arial" w:hAnsi="Arial" w:cs="Arial"/>
          <w:b/>
        </w:rPr>
        <w:t>Большемурашкинского</w:t>
      </w:r>
      <w:proofErr w:type="spellEnd"/>
      <w:r w:rsidRPr="00C84D86">
        <w:rPr>
          <w:rFonts w:ascii="Arial" w:hAnsi="Arial" w:cs="Arial"/>
          <w:b/>
        </w:rPr>
        <w:t xml:space="preserve"> муниципального района на 2015-2017 </w:t>
      </w:r>
      <w:proofErr w:type="spellStart"/>
      <w:proofErr w:type="gramStart"/>
      <w:r w:rsidRPr="00C84D86">
        <w:rPr>
          <w:rFonts w:ascii="Arial" w:hAnsi="Arial" w:cs="Arial"/>
          <w:b/>
        </w:rPr>
        <w:t>гг</w:t>
      </w:r>
      <w:proofErr w:type="spellEnd"/>
      <w:proofErr w:type="gramEnd"/>
      <w:r w:rsidRPr="00C84D86">
        <w:rPr>
          <w:rFonts w:ascii="Arial" w:hAnsi="Arial" w:cs="Arial"/>
          <w:b/>
        </w:rPr>
        <w:t xml:space="preserve"> » за 2015 год</w:t>
      </w:r>
    </w:p>
    <w:p w:rsidR="00A23A49" w:rsidRPr="00C84D86" w:rsidRDefault="00A23A49" w:rsidP="00A23A49">
      <w:pPr>
        <w:spacing w:after="200" w:line="276" w:lineRule="auto"/>
        <w:jc w:val="center"/>
        <w:rPr>
          <w:rFonts w:ascii="Arial" w:hAnsi="Arial" w:cs="Arial"/>
        </w:rPr>
      </w:pPr>
    </w:p>
    <w:p w:rsidR="00A23A49" w:rsidRPr="00C84D86" w:rsidRDefault="00A23A49" w:rsidP="00C84D86">
      <w:p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Муниципальная программа «Устойчивое развитие  территории Советского сельсовета </w:t>
      </w:r>
      <w:proofErr w:type="spellStart"/>
      <w:r w:rsidRPr="00C84D86">
        <w:rPr>
          <w:rFonts w:ascii="Arial" w:hAnsi="Arial" w:cs="Arial"/>
        </w:rPr>
        <w:t>Большемурашкинского</w:t>
      </w:r>
      <w:proofErr w:type="spellEnd"/>
      <w:r w:rsidRPr="00C84D86">
        <w:rPr>
          <w:rFonts w:ascii="Arial" w:hAnsi="Arial" w:cs="Arial"/>
        </w:rPr>
        <w:t xml:space="preserve"> муниципального района на 2015-2017 </w:t>
      </w:r>
      <w:proofErr w:type="spellStart"/>
      <w:proofErr w:type="gramStart"/>
      <w:r w:rsidRPr="00C84D86">
        <w:rPr>
          <w:rFonts w:ascii="Arial" w:hAnsi="Arial" w:cs="Arial"/>
        </w:rPr>
        <w:t>гг</w:t>
      </w:r>
      <w:proofErr w:type="spellEnd"/>
      <w:proofErr w:type="gramEnd"/>
      <w:r w:rsidRPr="00C84D86">
        <w:rPr>
          <w:rFonts w:ascii="Arial" w:hAnsi="Arial" w:cs="Arial"/>
        </w:rPr>
        <w:t xml:space="preserve"> » была утверждена постановлением администрации Советского сельсовета от</w:t>
      </w:r>
      <w:r w:rsidR="00C84D86">
        <w:rPr>
          <w:rFonts w:ascii="Arial" w:hAnsi="Arial" w:cs="Arial"/>
        </w:rPr>
        <w:t xml:space="preserve"> </w:t>
      </w:r>
      <w:r w:rsidRPr="00C84D86">
        <w:rPr>
          <w:rFonts w:ascii="Arial" w:hAnsi="Arial" w:cs="Arial"/>
        </w:rPr>
        <w:t>30.10.2014 г. № 76  (далее –  Программа).</w:t>
      </w:r>
    </w:p>
    <w:p w:rsidR="00A23A49" w:rsidRPr="00C84D86" w:rsidRDefault="00A23A49" w:rsidP="00C84D86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Данная   программа направлена на достижение следующих целей:</w:t>
      </w:r>
    </w:p>
    <w:p w:rsidR="00A23A49" w:rsidRPr="00C84D86" w:rsidRDefault="00A23A49" w:rsidP="00C84D86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Создание благоприятных социально-бытовых условий проживания населения на территории поселения.</w:t>
      </w:r>
    </w:p>
    <w:p w:rsidR="00A23A49" w:rsidRPr="00C84D86" w:rsidRDefault="00A23A49" w:rsidP="00C84D86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Задачи муниципальной программы: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Создание условий для организации благоустройства территории Советского сельсовета;</w:t>
      </w:r>
    </w:p>
    <w:p w:rsidR="00A23A49" w:rsidRPr="00C84D86" w:rsidRDefault="00C84D86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A23A49" w:rsidRPr="00C84D86">
        <w:rPr>
          <w:rFonts w:ascii="Arial" w:hAnsi="Arial" w:cs="Arial"/>
        </w:rPr>
        <w:t>азвитие современной и эффективной автомобильно-дорожной инфраструктуры;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Повышение уровня и качества жизни населения в области коммунального хозяйства;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Создание условий для эффективного управления и распоряжения муниципальным имуществом Советского сельсовета </w:t>
      </w:r>
      <w:proofErr w:type="spellStart"/>
      <w:r w:rsidRPr="00C84D86">
        <w:rPr>
          <w:rFonts w:ascii="Arial" w:hAnsi="Arial" w:cs="Arial"/>
        </w:rPr>
        <w:t>Большемурашкинского</w:t>
      </w:r>
      <w:proofErr w:type="spellEnd"/>
      <w:r w:rsidRPr="00C84D86">
        <w:rPr>
          <w:rFonts w:ascii="Arial" w:hAnsi="Arial" w:cs="Arial"/>
        </w:rPr>
        <w:t xml:space="preserve"> муниципального района Нижегородской области в целях повышения доходной части бюджета </w:t>
      </w:r>
      <w:r w:rsidR="00C84D86">
        <w:rPr>
          <w:rFonts w:ascii="Arial" w:hAnsi="Arial" w:cs="Arial"/>
        </w:rPr>
        <w:t>сельсовета</w:t>
      </w:r>
      <w:r w:rsidRPr="00C84D86">
        <w:rPr>
          <w:rFonts w:ascii="Arial" w:hAnsi="Arial" w:cs="Arial"/>
        </w:rPr>
        <w:t>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Укрепление физического здоровья жителей </w:t>
      </w:r>
      <w:r w:rsidR="00C84D86">
        <w:rPr>
          <w:rFonts w:ascii="Arial" w:hAnsi="Arial" w:cs="Arial"/>
        </w:rPr>
        <w:t>С</w:t>
      </w:r>
      <w:r w:rsidRPr="00C84D86">
        <w:rPr>
          <w:rFonts w:ascii="Arial" w:hAnsi="Arial" w:cs="Arial"/>
        </w:rPr>
        <w:t>оветского сельсовета;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Реализация мероприятий в сфере социальной политики;</w:t>
      </w:r>
    </w:p>
    <w:p w:rsidR="00A23A49" w:rsidRPr="00C84D86" w:rsidRDefault="00A23A49" w:rsidP="00C84D86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C84D86">
        <w:rPr>
          <w:rFonts w:ascii="Arial" w:hAnsi="Arial" w:cs="Arial"/>
        </w:rPr>
        <w:t>Обеспечение достижения непосредственных результатов реализации муниципальной программы.</w:t>
      </w:r>
    </w:p>
    <w:p w:rsidR="00A23A49" w:rsidRPr="00C84D86" w:rsidRDefault="00A23A49" w:rsidP="00C84D86">
      <w:pPr>
        <w:widowControl w:val="0"/>
        <w:tabs>
          <w:tab w:val="left" w:pos="5560"/>
        </w:tabs>
        <w:autoSpaceDE w:val="0"/>
        <w:autoSpaceDN w:val="0"/>
        <w:adjustRightInd w:val="0"/>
        <w:ind w:firstLine="300"/>
        <w:jc w:val="both"/>
        <w:rPr>
          <w:rFonts w:ascii="Arial" w:hAnsi="Arial" w:cs="Arial"/>
          <w:bCs/>
          <w:color w:val="000000"/>
        </w:rPr>
      </w:pPr>
      <w:r w:rsidRPr="00C84D86">
        <w:rPr>
          <w:rFonts w:ascii="Arial" w:hAnsi="Arial" w:cs="Arial"/>
          <w:color w:val="000000"/>
        </w:rPr>
        <w:t>В ходе реализации муниципальной программы за 2015 год использовались средства местного бюджета. Всего по муниципальной программе выделено средств 6644,1 тыс. рублей, кассовое исполнение составило 6535,9 тыс. руб.</w:t>
      </w:r>
    </w:p>
    <w:p w:rsidR="00A23A49" w:rsidRPr="00C84D86" w:rsidRDefault="00A23A49" w:rsidP="00C84D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val="single"/>
        </w:rPr>
      </w:pPr>
      <w:r w:rsidRPr="00C84D86">
        <w:rPr>
          <w:rFonts w:ascii="Arial" w:hAnsi="Arial" w:cs="Arial"/>
          <w:bCs/>
          <w:color w:val="000000"/>
        </w:rPr>
        <w:t xml:space="preserve">  </w:t>
      </w:r>
    </w:p>
    <w:p w:rsidR="00A23A49" w:rsidRPr="00C84D86" w:rsidRDefault="00A23A49" w:rsidP="00C84D86">
      <w:pPr>
        <w:jc w:val="both"/>
        <w:rPr>
          <w:rFonts w:ascii="Arial" w:hAnsi="Arial" w:cs="Arial"/>
        </w:rPr>
      </w:pPr>
    </w:p>
    <w:p w:rsidR="00A23A49" w:rsidRPr="00C84D86" w:rsidRDefault="00A23A49" w:rsidP="00C84D86">
      <w:pPr>
        <w:jc w:val="both"/>
        <w:rPr>
          <w:rFonts w:ascii="Arial" w:hAnsi="Arial" w:cs="Arial"/>
        </w:rPr>
        <w:sectPr w:rsidR="00A23A49" w:rsidRPr="00C84D86" w:rsidSect="00C84D86">
          <w:pgSz w:w="12240" w:h="15840"/>
          <w:pgMar w:top="851" w:right="851" w:bottom="851" w:left="1418" w:header="720" w:footer="720" w:gutter="0"/>
          <w:cols w:space="720"/>
          <w:noEndnote/>
          <w:docGrid w:linePitch="299"/>
        </w:sectPr>
      </w:pPr>
    </w:p>
    <w:p w:rsidR="00A23A49" w:rsidRPr="00C84D86" w:rsidRDefault="00A23A49" w:rsidP="00A23A4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84D86">
        <w:rPr>
          <w:b/>
          <w:sz w:val="24"/>
          <w:szCs w:val="24"/>
        </w:rPr>
        <w:lastRenderedPageBreak/>
        <w:t xml:space="preserve">ОТЧЕТ О ВЫПОЛНЕНИИ </w:t>
      </w:r>
    </w:p>
    <w:p w:rsidR="00A23A49" w:rsidRPr="00C84D86" w:rsidRDefault="00A23A49" w:rsidP="00A23A4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4D86">
        <w:rPr>
          <w:rFonts w:ascii="Arial" w:hAnsi="Arial" w:cs="Arial"/>
          <w:b/>
        </w:rPr>
        <w:t xml:space="preserve">МУНИЦИПАЛЬНОЙ ПРОГРАММЫ «Устойчивое развитие территории Советского сельсовета </w:t>
      </w:r>
      <w:proofErr w:type="spellStart"/>
      <w:r w:rsidRPr="00C84D86">
        <w:rPr>
          <w:rFonts w:ascii="Arial" w:hAnsi="Arial" w:cs="Arial"/>
          <w:b/>
        </w:rPr>
        <w:t>Большемурашкинского</w:t>
      </w:r>
      <w:proofErr w:type="spellEnd"/>
      <w:r w:rsidRPr="00C84D86">
        <w:rPr>
          <w:rFonts w:ascii="Arial" w:hAnsi="Arial" w:cs="Arial"/>
          <w:b/>
        </w:rPr>
        <w:t xml:space="preserve"> муниципального района на 2015-2017 </w:t>
      </w:r>
      <w:proofErr w:type="spellStart"/>
      <w:proofErr w:type="gramStart"/>
      <w:r w:rsidRPr="00C84D86">
        <w:rPr>
          <w:rFonts w:ascii="Arial" w:hAnsi="Arial" w:cs="Arial"/>
          <w:b/>
        </w:rPr>
        <w:t>гг</w:t>
      </w:r>
      <w:proofErr w:type="spellEnd"/>
      <w:proofErr w:type="gramEnd"/>
      <w:r w:rsidRPr="00C84D86">
        <w:rPr>
          <w:rFonts w:ascii="Arial" w:hAnsi="Arial" w:cs="Arial"/>
          <w:b/>
        </w:rPr>
        <w:t>» на 01.01.2016 года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C84D86">
        <w:rPr>
          <w:rFonts w:ascii="Arial" w:hAnsi="Arial" w:cs="Arial"/>
          <w:b/>
          <w:u w:val="single"/>
        </w:rPr>
        <w:t>Таблица 1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6"/>
        <w:gridCol w:w="992"/>
        <w:gridCol w:w="851"/>
        <w:gridCol w:w="1275"/>
        <w:gridCol w:w="1417"/>
        <w:gridCol w:w="567"/>
        <w:gridCol w:w="709"/>
        <w:gridCol w:w="1559"/>
      </w:tblGrid>
      <w:tr w:rsidR="00A23A49" w:rsidRPr="00C84D86" w:rsidTr="00C84D86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</w:rPr>
              <w:t>Цель, задачи,</w:t>
            </w:r>
            <w:r w:rsidRPr="00C84D86">
              <w:rPr>
                <w:rFonts w:ascii="Arial" w:hAnsi="Arial" w:cs="Arial"/>
              </w:rPr>
              <w:br/>
              <w:t>направления деятельности,</w:t>
            </w:r>
            <w:r w:rsidRPr="00C84D86">
              <w:rPr>
                <w:rFonts w:ascii="Arial" w:hAnsi="Arial" w:cs="Arial"/>
              </w:rPr>
              <w:br/>
            </w:r>
            <w:r w:rsidRPr="00C84D86">
              <w:rPr>
                <w:rFonts w:ascii="Arial" w:hAnsi="Arial" w:cs="Arial"/>
                <w:b/>
              </w:rPr>
              <w:t>наименование мероприятий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  <w:b/>
              </w:rPr>
              <w:t>Программы (подпрограммы)</w:t>
            </w:r>
            <w:r w:rsidRPr="00C84D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Исполнитель    </w:t>
            </w:r>
          </w:p>
        </w:tc>
        <w:tc>
          <w:tcPr>
            <w:tcW w:w="99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Финансовые затраты, тыс. руб.    </w:t>
            </w: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план      (по источникам финансирования), тыс. руб.</w:t>
            </w:r>
          </w:p>
        </w:tc>
        <w:tc>
          <w:tcPr>
            <w:tcW w:w="3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фактическое  финансирование (по источникам), тыс. руб.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Отклонение *</w:t>
            </w: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Местный бюджет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Местный бюджет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…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  <w:b/>
              </w:rPr>
              <w:t>11</w:t>
            </w: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1 «Благоустройство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1424,30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1424,30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2 «Развитие дорожного хозяйства на территории </w:t>
            </w:r>
            <w:r w:rsidR="00C84D86">
              <w:rPr>
                <w:rFonts w:ascii="Arial" w:hAnsi="Arial" w:cs="Arial"/>
              </w:rPr>
              <w:t>С</w:t>
            </w:r>
            <w:r w:rsidRPr="00C84D86">
              <w:rPr>
                <w:rFonts w:ascii="Arial" w:hAnsi="Arial" w:cs="Arial"/>
              </w:rPr>
              <w:t xml:space="preserve">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831,5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723,3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Неполное использование средств дорожного фонда.</w:t>
            </w: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3  «Развитие жилищно-коммунального хозяйства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2257,7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2257,7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lastRenderedPageBreak/>
              <w:t xml:space="preserve">Подпрограмма 4 «Управление и распоряжение муниципальным имуществом в Советском сельсовете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232,10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232,1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5 «Развитие физической культуры и спорта на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177,6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6 «Социальная политика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143,8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143,8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Подпрограмма 7 « 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1577,2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1577,2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 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6644,1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6535,9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108,2</w:t>
            </w:r>
          </w:p>
        </w:tc>
      </w:tr>
    </w:tbl>
    <w:p w:rsidR="00A23A49" w:rsidRPr="00C84D86" w:rsidRDefault="00A23A49" w:rsidP="00A23A49">
      <w:pPr>
        <w:tabs>
          <w:tab w:val="left" w:pos="100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23A49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C84D86" w:rsidRPr="00C84D86" w:rsidRDefault="00C84D86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u w:val="single"/>
        </w:rPr>
      </w:pPr>
      <w:r w:rsidRPr="00C84D86">
        <w:rPr>
          <w:rFonts w:ascii="Arial" w:hAnsi="Arial" w:cs="Arial"/>
          <w:b/>
          <w:u w:val="single"/>
        </w:rPr>
        <w:lastRenderedPageBreak/>
        <w:t>Таблица 2</w:t>
      </w:r>
    </w:p>
    <w:p w:rsidR="00A23A49" w:rsidRPr="00C84D86" w:rsidRDefault="00A23A49" w:rsidP="00A23A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u w:val="single"/>
        </w:rPr>
      </w:pPr>
    </w:p>
    <w:tbl>
      <w:tblPr>
        <w:tblW w:w="140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077"/>
        <w:gridCol w:w="3307"/>
        <w:gridCol w:w="1080"/>
        <w:gridCol w:w="1023"/>
        <w:gridCol w:w="720"/>
        <w:gridCol w:w="1458"/>
        <w:gridCol w:w="2183"/>
      </w:tblGrid>
      <w:tr w:rsidR="00A23A49" w:rsidRPr="00C84D86" w:rsidTr="00C84D86">
        <w:trPr>
          <w:gridAfter w:val="5"/>
          <w:wAfter w:w="6464" w:type="dxa"/>
          <w:cantSplit/>
          <w:trHeight w:val="360"/>
        </w:trPr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84D86">
              <w:rPr>
                <w:rFonts w:ascii="Arial" w:hAnsi="Arial" w:cs="Arial"/>
              </w:rPr>
              <w:t>Цель, задачи, направления деятельности,</w:t>
            </w:r>
            <w:r w:rsidRPr="00C84D86">
              <w:rPr>
                <w:rFonts w:ascii="Arial" w:hAnsi="Arial" w:cs="Arial"/>
              </w:rPr>
              <w:br/>
            </w:r>
            <w:r w:rsidRPr="00C84D86">
              <w:rPr>
                <w:rFonts w:ascii="Arial" w:hAnsi="Arial" w:cs="Arial"/>
                <w:b/>
              </w:rPr>
              <w:t>наименование мероприятий  Программы (Подпрограммы)</w:t>
            </w:r>
            <w:r w:rsidRPr="00C84D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Исполнитель    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Индикаторы достижения цели</w:t>
            </w:r>
          </w:p>
        </w:tc>
      </w:tr>
      <w:tr w:rsidR="00A23A49" w:rsidRPr="00C84D86" w:rsidTr="00C84D86">
        <w:trPr>
          <w:cantSplit/>
          <w:trHeight w:val="881"/>
        </w:trPr>
        <w:tc>
          <w:tcPr>
            <w:tcW w:w="21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C84D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Наименование</w:t>
            </w:r>
            <w:r w:rsidRPr="00C84D86">
              <w:rPr>
                <w:rFonts w:ascii="Arial" w:hAnsi="Arial" w:cs="Arial"/>
              </w:rPr>
              <w:br/>
              <w:t>показателя  (индикатора достижения цели)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план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факт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отклонение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Обоснование </w:t>
            </w:r>
            <w:proofErr w:type="gramStart"/>
            <w:r w:rsidRPr="00C84D86">
              <w:rPr>
                <w:rFonts w:ascii="Arial" w:hAnsi="Arial" w:cs="Arial"/>
              </w:rPr>
              <w:t>отклонений значений индикатора достижения цели/ непосредственного результата</w:t>
            </w:r>
            <w:proofErr w:type="gramEnd"/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8</w:t>
            </w: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1 «Благоустройство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Обеспеченность уличным освещение путем отсутствия задолженности за потребленную электроэнергию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36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Обеспеченность уличным освещением путем соответствия действующих светильником к общему количеству светильников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1051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Улучшение санитарного состояния кладбищ путем проведения работ по уборке мусора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84D86">
              <w:rPr>
                <w:rFonts w:ascii="Arial" w:hAnsi="Arial" w:cs="Arial"/>
              </w:rPr>
              <w:t>Куб</w:t>
            </w:r>
            <w:proofErr w:type="gramStart"/>
            <w:r w:rsidRPr="00C84D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Исполнение денежного обязательства по оплате земельного налога под территориями кладбищ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Количество отремонтированных и благоустроенных памятников погибшим воинам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Шт.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Обеспеченность  населенных пунктов местами временного хранения отходов (мусорными ящиками, урнами)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50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 xml:space="preserve">Улучшение эстетического и санитарного состояния территорий населенных пунктов  путем </w:t>
            </w:r>
            <w:proofErr w:type="spellStart"/>
            <w:r w:rsidRPr="00C84D86">
              <w:rPr>
                <w:sz w:val="24"/>
                <w:szCs w:val="24"/>
              </w:rPr>
              <w:t>обкашивания</w:t>
            </w:r>
            <w:proofErr w:type="spellEnd"/>
            <w:r w:rsidRPr="00C84D86">
              <w:rPr>
                <w:sz w:val="24"/>
                <w:szCs w:val="24"/>
              </w:rPr>
              <w:t xml:space="preserve"> сорной растительности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га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+0,2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2 «Развитие дорожного хозяйства на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Механизированная очистка внутри</w:t>
            </w:r>
            <w:r w:rsidR="00C84D86">
              <w:rPr>
                <w:rFonts w:ascii="Arial" w:hAnsi="Arial" w:cs="Arial"/>
              </w:rPr>
              <w:t xml:space="preserve"> </w:t>
            </w:r>
            <w:r w:rsidRPr="00C84D86">
              <w:rPr>
                <w:rFonts w:ascii="Arial" w:hAnsi="Arial" w:cs="Arial"/>
              </w:rPr>
              <w:t>поселенческих автомобильных дорог общего пользования от снега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Увеличение протяженности дорог приемлемого качества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45,4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-19,4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Неполное использование средств дорожного фонда. Остаток средств будет использован в 2016 году</w:t>
            </w: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3  «Развитие жилищно-коммунального хозяйства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Компенсация недополученных или выпавших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Советского Администрация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Перечисление региональному оператору взносов на кап</w:t>
            </w:r>
            <w:proofErr w:type="gramStart"/>
            <w:r w:rsidRPr="00C84D86">
              <w:rPr>
                <w:rFonts w:ascii="Arial" w:hAnsi="Arial" w:cs="Arial"/>
              </w:rPr>
              <w:t>.</w:t>
            </w:r>
            <w:proofErr w:type="gramEnd"/>
            <w:r w:rsidR="00C84D86">
              <w:rPr>
                <w:rFonts w:ascii="Arial" w:hAnsi="Arial" w:cs="Arial"/>
              </w:rPr>
              <w:t xml:space="preserve"> </w:t>
            </w:r>
            <w:proofErr w:type="gramStart"/>
            <w:r w:rsidRPr="00C84D86">
              <w:rPr>
                <w:rFonts w:ascii="Arial" w:hAnsi="Arial" w:cs="Arial"/>
              </w:rPr>
              <w:t>р</w:t>
            </w:r>
            <w:proofErr w:type="gramEnd"/>
            <w:r w:rsidRPr="00C84D86">
              <w:rPr>
                <w:rFonts w:ascii="Arial" w:hAnsi="Arial" w:cs="Arial"/>
              </w:rPr>
              <w:t>емонт муниципального жилья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ind w:left="36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Подпрограмма 4. «Управление и распоряжение муниципальным имуществом»</w:t>
            </w:r>
          </w:p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Поступление доходов в бюджет сельсовета от использования недвижимого имущества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344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Ведение учета муниципального недвижимого имущества в реестре объектов муниципальной собственности Советского сельсовета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Подпрограмма 5 Развитие физической культуры и спорта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Увеличение доли регулярно </w:t>
            </w:r>
            <w:proofErr w:type="gramStart"/>
            <w:r w:rsidRPr="00C84D86">
              <w:rPr>
                <w:rFonts w:ascii="Arial" w:hAnsi="Arial" w:cs="Arial"/>
              </w:rPr>
              <w:t>занимающихся</w:t>
            </w:r>
            <w:proofErr w:type="gramEnd"/>
            <w:r w:rsidRPr="00C84D86">
              <w:rPr>
                <w:rFonts w:ascii="Arial" w:hAnsi="Arial" w:cs="Arial"/>
              </w:rPr>
              <w:t xml:space="preserve"> физической культурой и спортом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Увеличение доли участников в местных соревнованиях от общего количества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Участие в районных  соревнованиях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rPr>
                <w:rFonts w:ascii="Arial" w:hAnsi="Arial" w:cs="Arial"/>
              </w:rPr>
            </w:pPr>
            <w:proofErr w:type="spellStart"/>
            <w:r w:rsidRPr="00C84D86">
              <w:rPr>
                <w:rFonts w:ascii="Arial" w:hAnsi="Arial" w:cs="Arial"/>
              </w:rPr>
              <w:t>Соревн</w:t>
            </w:r>
            <w:proofErr w:type="spellEnd"/>
            <w:r w:rsidRPr="00C84D86">
              <w:rPr>
                <w:rFonts w:ascii="Arial" w:hAnsi="Arial" w:cs="Arial"/>
              </w:rPr>
              <w:t>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jc w:val="both"/>
              <w:rPr>
                <w:rFonts w:ascii="Arial" w:hAnsi="Arial" w:cs="Arial"/>
              </w:rPr>
            </w:pPr>
            <w:proofErr w:type="gramStart"/>
            <w:r w:rsidRPr="00C84D86">
              <w:rPr>
                <w:rFonts w:ascii="Arial" w:hAnsi="Arial" w:cs="Arial"/>
              </w:rPr>
              <w:t>Обеспеченность освещения на катке путем отсутствия задолженности за потребленную электроэнергии.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C84D86">
              <w:rPr>
                <w:sz w:val="24"/>
                <w:szCs w:val="24"/>
              </w:rPr>
              <w:t>Подпрограмма</w:t>
            </w:r>
            <w:r w:rsidR="00C84D86">
              <w:rPr>
                <w:sz w:val="24"/>
                <w:szCs w:val="24"/>
              </w:rPr>
              <w:t xml:space="preserve"> </w:t>
            </w:r>
            <w:r w:rsidRPr="00C84D86">
              <w:rPr>
                <w:sz w:val="24"/>
                <w:szCs w:val="24"/>
              </w:rPr>
              <w:t>6. Социальная</w:t>
            </w:r>
            <w:r w:rsidRPr="00C84D86">
              <w:rPr>
                <w:sz w:val="24"/>
                <w:szCs w:val="24"/>
                <w:u w:val="single"/>
              </w:rPr>
              <w:t xml:space="preserve"> </w:t>
            </w:r>
            <w:r w:rsidRPr="00C84D86">
              <w:rPr>
                <w:sz w:val="24"/>
                <w:szCs w:val="24"/>
              </w:rPr>
              <w:t>политика.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Администрация Советского сельсовета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6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- увеличение количества человек, принявших участие в общественных и социально значимых мероприятиях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6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 Чел.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30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Cell"/>
              <w:ind w:firstLine="540"/>
              <w:jc w:val="both"/>
              <w:rPr>
                <w:b/>
                <w:sz w:val="24"/>
                <w:szCs w:val="24"/>
                <w:u w:val="single"/>
              </w:rPr>
            </w:pPr>
            <w:r w:rsidRPr="00C84D8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6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Количество возложенных венков к памятникам воинам, погибшим в ВОВ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Шт.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5"/>
              <w:widowControl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6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3A49" w:rsidRPr="00C84D86" w:rsidTr="00C84D86">
        <w:trPr>
          <w:cantSplit/>
          <w:trHeight w:val="240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>Подпрограмма 7.</w:t>
            </w:r>
          </w:p>
          <w:p w:rsidR="00A23A49" w:rsidRPr="00C84D86" w:rsidRDefault="00A23A49" w:rsidP="004645C4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C84D86">
              <w:rPr>
                <w:sz w:val="24"/>
                <w:szCs w:val="24"/>
              </w:rPr>
              <w:t xml:space="preserve"> Обеспечение реализации муниципальной программы.</w:t>
            </w:r>
          </w:p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pStyle w:val="a5"/>
              <w:rPr>
                <w:rFonts w:ascii="Arial" w:hAnsi="Arial" w:cs="Arial"/>
              </w:rPr>
            </w:pPr>
          </w:p>
          <w:p w:rsidR="00A23A49" w:rsidRPr="00C84D86" w:rsidRDefault="00A23A49" w:rsidP="004645C4">
            <w:pPr>
              <w:pStyle w:val="a6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  Выполнение в максимальном объеме задач, мероприятий и показателей, предусмотренных муниципальной программой и ее подпрограммами</w:t>
            </w:r>
          </w:p>
          <w:p w:rsidR="00A23A49" w:rsidRPr="00C84D86" w:rsidRDefault="00A23A49" w:rsidP="004645C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0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A49" w:rsidRPr="00C84D86" w:rsidRDefault="00A23A49" w:rsidP="004645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23A49" w:rsidRPr="00C84D86" w:rsidRDefault="00A23A49" w:rsidP="00A23A49">
      <w:pPr>
        <w:pStyle w:val="a5"/>
        <w:jc w:val="both"/>
        <w:rPr>
          <w:rFonts w:ascii="Arial" w:hAnsi="Arial" w:cs="Arial"/>
          <w:bCs/>
          <w:color w:val="FF0000"/>
        </w:rPr>
      </w:pPr>
    </w:p>
    <w:p w:rsidR="00A23A49" w:rsidRPr="00C84D86" w:rsidRDefault="00A23A49" w:rsidP="00A23A49">
      <w:pPr>
        <w:pStyle w:val="a5"/>
        <w:jc w:val="both"/>
        <w:rPr>
          <w:rFonts w:ascii="Arial" w:hAnsi="Arial" w:cs="Arial"/>
          <w:bCs/>
          <w:color w:val="FF0000"/>
        </w:rPr>
      </w:pPr>
      <w:r w:rsidRPr="00C84D86">
        <w:rPr>
          <w:rFonts w:ascii="Arial" w:hAnsi="Arial" w:cs="Arial"/>
          <w:bCs/>
          <w:color w:val="FF0000"/>
        </w:rPr>
        <w:t xml:space="preserve">                                    </w:t>
      </w:r>
    </w:p>
    <w:p w:rsidR="00A23A49" w:rsidRPr="00C84D86" w:rsidRDefault="00A23A49" w:rsidP="00A23A49">
      <w:pPr>
        <w:pStyle w:val="a5"/>
        <w:jc w:val="both"/>
        <w:rPr>
          <w:rFonts w:ascii="Arial" w:hAnsi="Arial" w:cs="Arial"/>
          <w:bCs/>
          <w:color w:val="FF0000"/>
        </w:rPr>
      </w:pPr>
    </w:p>
    <w:p w:rsidR="00A23A49" w:rsidRPr="00C84D86" w:rsidRDefault="00A23A49" w:rsidP="00A23A49">
      <w:pPr>
        <w:pStyle w:val="a5"/>
        <w:ind w:firstLine="300"/>
        <w:jc w:val="both"/>
        <w:rPr>
          <w:rFonts w:ascii="Arial" w:hAnsi="Arial" w:cs="Arial"/>
        </w:rPr>
      </w:pPr>
      <w:r w:rsidRPr="00C84D86">
        <w:rPr>
          <w:rFonts w:ascii="Arial" w:hAnsi="Arial" w:cs="Arial"/>
          <w:b/>
        </w:rPr>
        <w:t xml:space="preserve"> </w:t>
      </w: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  <w:sectPr w:rsidR="00A23A49" w:rsidRPr="00C84D86" w:rsidSect="008616AD">
          <w:pgSz w:w="15840" w:h="12240" w:orient="landscape"/>
          <w:pgMar w:top="851" w:right="851" w:bottom="851" w:left="1418" w:header="720" w:footer="720" w:gutter="0"/>
          <w:cols w:space="720"/>
          <w:noEndnote/>
          <w:docGrid w:linePitch="299"/>
        </w:sectPr>
      </w:pPr>
    </w:p>
    <w:p w:rsidR="00A23A49" w:rsidRPr="00C84D86" w:rsidRDefault="00A23A49" w:rsidP="00A23A49">
      <w:pPr>
        <w:widowControl w:val="0"/>
        <w:autoSpaceDE w:val="0"/>
        <w:autoSpaceDN w:val="0"/>
        <w:adjustRightInd w:val="0"/>
        <w:ind w:firstLine="300"/>
        <w:jc w:val="center"/>
        <w:rPr>
          <w:rFonts w:ascii="Arial" w:hAnsi="Arial" w:cs="Arial"/>
          <w:b/>
          <w:color w:val="000000"/>
        </w:rPr>
      </w:pPr>
      <w:r w:rsidRPr="00C84D86">
        <w:rPr>
          <w:rFonts w:ascii="Arial" w:hAnsi="Arial" w:cs="Arial"/>
          <w:b/>
          <w:color w:val="000000"/>
        </w:rPr>
        <w:lastRenderedPageBreak/>
        <w:t>Сводные результаты проведенной оценки</w:t>
      </w:r>
    </w:p>
    <w:p w:rsidR="00A23A49" w:rsidRPr="00C84D86" w:rsidRDefault="00A23A49" w:rsidP="00A23A49">
      <w:pPr>
        <w:widowControl w:val="0"/>
        <w:autoSpaceDE w:val="0"/>
        <w:autoSpaceDN w:val="0"/>
        <w:adjustRightInd w:val="0"/>
        <w:ind w:firstLine="300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586"/>
        <w:gridCol w:w="2015"/>
        <w:gridCol w:w="2241"/>
        <w:gridCol w:w="2414"/>
      </w:tblGrid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tabs>
                <w:tab w:val="left" w:pos="20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ab/>
              <w:t xml:space="preserve">№№ </w:t>
            </w:r>
            <w:proofErr w:type="gramStart"/>
            <w:r w:rsidRPr="00C84D8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84D86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Наименование показателя программы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Сумма весовых коэффициентов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 xml:space="preserve">Результативность оценки реализации муниципальной программы  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spacing w:after="200" w:line="276" w:lineRule="auto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Решение о продолжении реализации программы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1 «Благоустройство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ab/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 xml:space="preserve">Ожидаемые результаты за 2015 год достигнуты. Мероприятий </w:t>
            </w:r>
            <w:proofErr w:type="spellStart"/>
            <w:r w:rsidRPr="00C84D86">
              <w:rPr>
                <w:rFonts w:ascii="Arial" w:hAnsi="Arial" w:cs="Arial"/>
                <w:color w:val="000000"/>
              </w:rPr>
              <w:t>подпрграммы</w:t>
            </w:r>
            <w:proofErr w:type="spellEnd"/>
            <w:r w:rsidRPr="00C84D86">
              <w:rPr>
                <w:rFonts w:ascii="Arial" w:hAnsi="Arial" w:cs="Arial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84D86">
                <w:rPr>
                  <w:rFonts w:ascii="Arial" w:hAnsi="Arial" w:cs="Arial"/>
                  <w:color w:val="000000"/>
                </w:rPr>
                <w:t>2015 г</w:t>
              </w:r>
            </w:smartTag>
            <w:r w:rsidRPr="00C84D86">
              <w:rPr>
                <w:rFonts w:ascii="Arial" w:hAnsi="Arial" w:cs="Arial"/>
                <w:color w:val="000000"/>
              </w:rPr>
              <w:t xml:space="preserve">. </w:t>
            </w:r>
            <w:proofErr w:type="gramStart"/>
            <w:r w:rsidRPr="00C84D86">
              <w:rPr>
                <w:rFonts w:ascii="Arial" w:hAnsi="Arial" w:cs="Arial"/>
                <w:color w:val="000000"/>
              </w:rPr>
              <w:t>выполнены</w:t>
            </w:r>
            <w:proofErr w:type="gramEnd"/>
            <w:r w:rsidRPr="00C84D86">
              <w:rPr>
                <w:rFonts w:ascii="Arial" w:hAnsi="Arial" w:cs="Arial"/>
                <w:color w:val="000000"/>
              </w:rPr>
              <w:t>. Качественная эффективность подпрограммы  - высокая. Рекомендуется продолжить дальнейшую реализацию 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2 «Развитие дорожного хозяйства на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Средний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Ожидаемые результаты за 2015 год достигнуты частично. Денежные средства использованы не в полном объеме, остаток составил 108,4 тыс.</w:t>
            </w:r>
            <w:r w:rsidR="00C84D86">
              <w:rPr>
                <w:rFonts w:ascii="Arial" w:hAnsi="Arial" w:cs="Arial"/>
                <w:color w:val="000000"/>
              </w:rPr>
              <w:t xml:space="preserve"> </w:t>
            </w:r>
            <w:r w:rsidRPr="00C84D86">
              <w:rPr>
                <w:rFonts w:ascii="Arial" w:hAnsi="Arial" w:cs="Arial"/>
                <w:color w:val="000000"/>
              </w:rPr>
              <w:t>руб. или 13,0% от  запланированного, который будет использован в 2016 году. Не исполнен один из 2-х индикаторов.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8616AD" w:rsidRDefault="008616AD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586" w:type="dxa"/>
            <w:shd w:val="clear" w:color="auto" w:fill="auto"/>
          </w:tcPr>
          <w:p w:rsidR="008616AD" w:rsidRDefault="008616AD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616AD" w:rsidRDefault="008616AD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lastRenderedPageBreak/>
              <w:t xml:space="preserve">Подпрограмма 3  «Развитие жилищно-коммунального хозяйства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8616AD" w:rsidRDefault="008616AD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8,6</w:t>
            </w:r>
          </w:p>
        </w:tc>
        <w:tc>
          <w:tcPr>
            <w:tcW w:w="2241" w:type="dxa"/>
            <w:shd w:val="clear" w:color="auto" w:fill="auto"/>
          </w:tcPr>
          <w:p w:rsidR="008616AD" w:rsidRDefault="008616AD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8616AD" w:rsidRDefault="008616AD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Ожидаемые результаты за 2015 год достигнуты. Мероприятия программы выполнены. Качественная эффективность подпрограммы высокая. Рекомендуется продолжить дальнейшую реализацию подпрограммы.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4 «Управление и распоряжение муниципальным имуществом в Советском сельсовете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Ожидаемые результаты за 2015 год достигнуты. Мероприятия программы выполнены. Качественная эффективность подпрограммы высокая. Рекомендуется продолжить дальнейшую реализацию подпрограммы.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5 «Развитие физической культуры и спорта на территории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 xml:space="preserve">Ожидаемые результаты за 2015 год достигнуты. Мероприятия программы выполнены. Качественная эффективность подпрограммы высокая. </w:t>
            </w:r>
            <w:r w:rsidRPr="00C84D86">
              <w:rPr>
                <w:rFonts w:ascii="Arial" w:hAnsi="Arial" w:cs="Arial"/>
                <w:color w:val="000000"/>
              </w:rPr>
              <w:lastRenderedPageBreak/>
              <w:t>Рекомендуется продолжить дальнейшую реализацию подпрограммы.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 xml:space="preserve">Подпрограмма 6 «Социальная политика Советского сельсовета на 2015-2017 </w:t>
            </w:r>
            <w:proofErr w:type="spellStart"/>
            <w:proofErr w:type="gramStart"/>
            <w:r w:rsidRPr="00C84D86">
              <w:rPr>
                <w:rFonts w:ascii="Arial" w:hAnsi="Arial" w:cs="Arial"/>
              </w:rPr>
              <w:t>гг</w:t>
            </w:r>
            <w:proofErr w:type="spellEnd"/>
            <w:proofErr w:type="gramEnd"/>
            <w:r w:rsidRPr="00C84D86">
              <w:rPr>
                <w:rFonts w:ascii="Arial" w:hAnsi="Arial" w:cs="Arial"/>
              </w:rPr>
              <w:t>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Ожидаемые результаты за 2015 год достигнуты. Мероприятия программы выполнены, отремонтирована квартира ребенку сироте. Качественная эффективность подпрограммы высокая. Рекомендуется продолжить дальнейшую реализацию подпрограммы.</w:t>
            </w:r>
          </w:p>
        </w:tc>
      </w:tr>
      <w:tr w:rsidR="00A23A49" w:rsidRPr="00C84D86" w:rsidTr="004645C4">
        <w:tc>
          <w:tcPr>
            <w:tcW w:w="93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86" w:type="dxa"/>
            <w:shd w:val="clear" w:color="auto" w:fill="auto"/>
          </w:tcPr>
          <w:p w:rsidR="00A23A49" w:rsidRPr="00C84D86" w:rsidRDefault="00A23A49" w:rsidP="00A23A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Подпрограмма 7 « Обеспечение реализации муниципальной программы»</w:t>
            </w:r>
          </w:p>
        </w:tc>
        <w:tc>
          <w:tcPr>
            <w:tcW w:w="2015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A23A49" w:rsidRPr="00C84D86" w:rsidRDefault="00A23A49" w:rsidP="00A23A4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84D86">
              <w:rPr>
                <w:rFonts w:ascii="Arial" w:hAnsi="Arial" w:cs="Arial"/>
              </w:rPr>
              <w:t>8,6</w:t>
            </w:r>
          </w:p>
        </w:tc>
        <w:tc>
          <w:tcPr>
            <w:tcW w:w="2241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Высокий уровень эффективности</w:t>
            </w:r>
          </w:p>
        </w:tc>
        <w:tc>
          <w:tcPr>
            <w:tcW w:w="2414" w:type="dxa"/>
            <w:shd w:val="clear" w:color="auto" w:fill="auto"/>
          </w:tcPr>
          <w:p w:rsidR="00A23A49" w:rsidRPr="00C84D86" w:rsidRDefault="00A23A49" w:rsidP="00A23A4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C84D86">
              <w:rPr>
                <w:rFonts w:ascii="Arial" w:hAnsi="Arial" w:cs="Arial"/>
                <w:color w:val="000000"/>
              </w:rPr>
              <w:t>Ожидаемые результаты за 2015 год достигнуты. Мероприятия программы выполнены. Качественная эффективность подпрограммы высокая. Рекомендуется продолжить дальнейшую реализацию подпрограммы.</w:t>
            </w:r>
          </w:p>
        </w:tc>
      </w:tr>
    </w:tbl>
    <w:p w:rsidR="00A23A49" w:rsidRPr="00C84D86" w:rsidRDefault="00A23A49" w:rsidP="00A23A49">
      <w:pPr>
        <w:widowControl w:val="0"/>
        <w:autoSpaceDE w:val="0"/>
        <w:autoSpaceDN w:val="0"/>
        <w:adjustRightInd w:val="0"/>
        <w:ind w:firstLine="300"/>
        <w:jc w:val="right"/>
        <w:rPr>
          <w:rFonts w:ascii="Arial" w:hAnsi="Arial" w:cs="Arial"/>
          <w:color w:val="000000"/>
        </w:rPr>
      </w:pP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ab/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lastRenderedPageBreak/>
        <w:t xml:space="preserve">  В результате проведенной оценки из 7 реализуемых подпрограмм муниципальной программы  «Устойчивое развитие территории Советского сельсовета </w:t>
      </w:r>
      <w:proofErr w:type="spellStart"/>
      <w:r w:rsidRPr="00C84D86">
        <w:rPr>
          <w:rFonts w:ascii="Arial" w:hAnsi="Arial" w:cs="Arial"/>
          <w:color w:val="000000"/>
        </w:rPr>
        <w:t>Большемурашкинского</w:t>
      </w:r>
      <w:proofErr w:type="spellEnd"/>
      <w:r w:rsidRPr="00C84D86">
        <w:rPr>
          <w:rFonts w:ascii="Arial" w:hAnsi="Arial" w:cs="Arial"/>
          <w:color w:val="000000"/>
        </w:rPr>
        <w:t xml:space="preserve"> муниципального района Нижегородской области на 2015-2017 </w:t>
      </w:r>
      <w:proofErr w:type="spellStart"/>
      <w:proofErr w:type="gramStart"/>
      <w:r w:rsidRPr="00C84D86">
        <w:rPr>
          <w:rFonts w:ascii="Arial" w:hAnsi="Arial" w:cs="Arial"/>
          <w:color w:val="000000"/>
        </w:rPr>
        <w:t>гг</w:t>
      </w:r>
      <w:proofErr w:type="spellEnd"/>
      <w:proofErr w:type="gramEnd"/>
      <w:r w:rsidRPr="00C84D86">
        <w:rPr>
          <w:rFonts w:ascii="Arial" w:hAnsi="Arial" w:cs="Arial"/>
          <w:color w:val="000000"/>
        </w:rPr>
        <w:t>» с высоким уровнем эффективности признаны 6 подпрограмм и 1 подпрограмма -  со средним уровнем эффективности.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 xml:space="preserve"> За 2015 год исполнение финансирования по мероприятиям подпрограмм муниципальной программы составило 6535,9 тыс.</w:t>
      </w:r>
      <w:r w:rsidR="00C84D86">
        <w:rPr>
          <w:rFonts w:ascii="Arial" w:hAnsi="Arial" w:cs="Arial"/>
          <w:color w:val="000000"/>
        </w:rPr>
        <w:t xml:space="preserve"> </w:t>
      </w:r>
      <w:r w:rsidRPr="00C84D86">
        <w:rPr>
          <w:rFonts w:ascii="Arial" w:hAnsi="Arial" w:cs="Arial"/>
          <w:color w:val="000000"/>
        </w:rPr>
        <w:t>руб. (или 98,4% к плану).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>Исполнение финансирования не в полном объеме имеется по следующей подпрограмме: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 xml:space="preserve">Подпрограмма 2 «Развитие дорожного хозяйства на территории Советского сельсовета на 2015-2017 </w:t>
      </w:r>
      <w:proofErr w:type="spellStart"/>
      <w:proofErr w:type="gramStart"/>
      <w:r w:rsidRPr="00C84D86">
        <w:rPr>
          <w:rFonts w:ascii="Arial" w:hAnsi="Arial" w:cs="Arial"/>
          <w:color w:val="000000"/>
        </w:rPr>
        <w:t>гг</w:t>
      </w:r>
      <w:proofErr w:type="spellEnd"/>
      <w:proofErr w:type="gramEnd"/>
      <w:r w:rsidRPr="00C84D86">
        <w:rPr>
          <w:rFonts w:ascii="Arial" w:hAnsi="Arial" w:cs="Arial"/>
          <w:color w:val="000000"/>
        </w:rPr>
        <w:t>». Остаток денежных средств образовался  из-за неполного использования и будет направлен для использования в 2016 году.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>Остальные подпрограммы реализованы в полном объеме.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>Наибольший объем расходов осуществлен по следующим подпрограммам: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Подпрограмма 3  «Развитие жилищно-коммунального хозяйства Советского сельсовета на 2015-2017 </w:t>
      </w:r>
      <w:proofErr w:type="spellStart"/>
      <w:proofErr w:type="gramStart"/>
      <w:r w:rsidRPr="00C84D86">
        <w:rPr>
          <w:rFonts w:ascii="Arial" w:hAnsi="Arial" w:cs="Arial"/>
        </w:rPr>
        <w:t>гг</w:t>
      </w:r>
      <w:proofErr w:type="spellEnd"/>
      <w:proofErr w:type="gramEnd"/>
      <w:r w:rsidRPr="00C84D86">
        <w:rPr>
          <w:rFonts w:ascii="Arial" w:hAnsi="Arial" w:cs="Arial"/>
        </w:rPr>
        <w:t>» 2257,7 тыс.</w:t>
      </w:r>
      <w:r w:rsidR="00C84D86">
        <w:rPr>
          <w:rFonts w:ascii="Arial" w:hAnsi="Arial" w:cs="Arial"/>
        </w:rPr>
        <w:t xml:space="preserve"> </w:t>
      </w:r>
      <w:r w:rsidRPr="00C84D86">
        <w:rPr>
          <w:rFonts w:ascii="Arial" w:hAnsi="Arial" w:cs="Arial"/>
        </w:rPr>
        <w:t xml:space="preserve">руб. или 34,5 %; 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     Подпрограмма 7 « Обеспечение реализации муниципальной программы» - 1577,2 тыс.</w:t>
      </w:r>
      <w:r w:rsidR="00C84D86">
        <w:rPr>
          <w:rFonts w:ascii="Arial" w:hAnsi="Arial" w:cs="Arial"/>
        </w:rPr>
        <w:t xml:space="preserve"> </w:t>
      </w:r>
      <w:r w:rsidRPr="00C84D86">
        <w:rPr>
          <w:rFonts w:ascii="Arial" w:hAnsi="Arial" w:cs="Arial"/>
        </w:rPr>
        <w:t>руб.  или 24,1 %;</w:t>
      </w:r>
    </w:p>
    <w:p w:rsidR="00A23A49" w:rsidRPr="00C84D86" w:rsidRDefault="00A23A49" w:rsidP="00A23A49">
      <w:pPr>
        <w:widowControl w:val="0"/>
        <w:tabs>
          <w:tab w:val="left" w:pos="3700"/>
        </w:tabs>
        <w:autoSpaceDE w:val="0"/>
        <w:autoSpaceDN w:val="0"/>
        <w:adjustRightInd w:val="0"/>
        <w:ind w:firstLine="300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 xml:space="preserve">Подпрограмма 1 «Благоустройство территории Советского сельсовета на 2015-2017 </w:t>
      </w:r>
      <w:proofErr w:type="gramStart"/>
      <w:r w:rsidRPr="00C84D86">
        <w:rPr>
          <w:rFonts w:ascii="Arial" w:hAnsi="Arial" w:cs="Arial"/>
          <w:color w:val="000000"/>
        </w:rPr>
        <w:t>гг</w:t>
      </w:r>
      <w:proofErr w:type="gramEnd"/>
      <w:r w:rsidRPr="00C84D86">
        <w:rPr>
          <w:rFonts w:ascii="Arial" w:hAnsi="Arial" w:cs="Arial"/>
          <w:color w:val="000000"/>
        </w:rPr>
        <w:t>»1424,3 тыс.</w:t>
      </w:r>
      <w:r w:rsidR="00C84D86">
        <w:rPr>
          <w:rFonts w:ascii="Arial" w:hAnsi="Arial" w:cs="Arial"/>
          <w:color w:val="000000"/>
        </w:rPr>
        <w:t xml:space="preserve"> </w:t>
      </w:r>
      <w:r w:rsidRPr="00C84D86">
        <w:rPr>
          <w:rFonts w:ascii="Arial" w:hAnsi="Arial" w:cs="Arial"/>
          <w:color w:val="000000"/>
        </w:rPr>
        <w:t>руб. или 21,8 %  от общего расхода по муниципальной программе;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      Подпрограмма 2 «Развитие дорожного хозяйства на территории Советского сельсовета на 2015-2017 </w:t>
      </w:r>
      <w:proofErr w:type="spellStart"/>
      <w:proofErr w:type="gramStart"/>
      <w:r w:rsidRPr="00C84D86">
        <w:rPr>
          <w:rFonts w:ascii="Arial" w:hAnsi="Arial" w:cs="Arial"/>
        </w:rPr>
        <w:t>гг</w:t>
      </w:r>
      <w:proofErr w:type="spellEnd"/>
      <w:proofErr w:type="gramEnd"/>
      <w:r w:rsidRPr="00C84D86">
        <w:rPr>
          <w:rFonts w:ascii="Arial" w:hAnsi="Arial" w:cs="Arial"/>
        </w:rPr>
        <w:t>» 723,3 тыс.</w:t>
      </w:r>
      <w:r w:rsidR="00C84D86">
        <w:rPr>
          <w:rFonts w:ascii="Arial" w:hAnsi="Arial" w:cs="Arial"/>
        </w:rPr>
        <w:t xml:space="preserve"> </w:t>
      </w:r>
      <w:r w:rsidRPr="00C84D86">
        <w:rPr>
          <w:rFonts w:ascii="Arial" w:hAnsi="Arial" w:cs="Arial"/>
        </w:rPr>
        <w:t>руб. или 11,1 %.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    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  <w:r w:rsidRPr="00C84D86">
        <w:rPr>
          <w:rFonts w:ascii="Arial" w:hAnsi="Arial" w:cs="Arial"/>
        </w:rPr>
        <w:t xml:space="preserve">     Анализ </w:t>
      </w:r>
      <w:proofErr w:type="gramStart"/>
      <w:r w:rsidRPr="00C84D86">
        <w:rPr>
          <w:rFonts w:ascii="Arial" w:hAnsi="Arial" w:cs="Arial"/>
        </w:rPr>
        <w:t>итогов проведенной оценки эффективности реализации муниципальной программы</w:t>
      </w:r>
      <w:proofErr w:type="gramEnd"/>
      <w:r w:rsidRPr="00C84D86">
        <w:rPr>
          <w:rFonts w:ascii="Arial" w:hAnsi="Arial" w:cs="Arial"/>
        </w:rPr>
        <w:t xml:space="preserve"> показал, что все подпрограммы имеют высокий уровень эффективности, то есть на  выделенные средства решались поставленные задачи, выполнялись целевые показатели. Поэтому целесообразно продолжать реализацию действующей программы в  2016 году.</w:t>
      </w: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</w:p>
    <w:p w:rsidR="00A23A49" w:rsidRPr="00C84D86" w:rsidRDefault="00A23A49" w:rsidP="00A23A49">
      <w:pPr>
        <w:autoSpaceDE w:val="0"/>
        <w:autoSpaceDN w:val="0"/>
        <w:adjustRightInd w:val="0"/>
        <w:rPr>
          <w:rFonts w:ascii="Arial" w:hAnsi="Arial" w:cs="Arial"/>
        </w:rPr>
      </w:pPr>
    </w:p>
    <w:p w:rsidR="00A23A49" w:rsidRPr="00C84D86" w:rsidRDefault="00A23A49" w:rsidP="00A23A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84D86">
        <w:rPr>
          <w:rFonts w:ascii="Arial" w:hAnsi="Arial" w:cs="Arial"/>
          <w:color w:val="000000"/>
        </w:rPr>
        <w:t xml:space="preserve"> </w:t>
      </w:r>
    </w:p>
    <w:p w:rsidR="00A23A49" w:rsidRPr="00C84D86" w:rsidRDefault="00A23A49" w:rsidP="00A23A49">
      <w:pPr>
        <w:spacing w:after="200" w:line="276" w:lineRule="auto"/>
        <w:rPr>
          <w:rFonts w:ascii="Arial" w:hAnsi="Arial" w:cs="Arial"/>
        </w:rPr>
      </w:pPr>
    </w:p>
    <w:p w:rsidR="00A23A49" w:rsidRPr="00C84D86" w:rsidRDefault="00A23A49" w:rsidP="00A23A49">
      <w:pPr>
        <w:jc w:val="both"/>
        <w:rPr>
          <w:rFonts w:ascii="Arial" w:hAnsi="Arial" w:cs="Arial"/>
        </w:rPr>
      </w:pPr>
    </w:p>
    <w:sectPr w:rsidR="00A23A49" w:rsidRPr="00C84D86" w:rsidSect="008616AD">
      <w:pgSz w:w="12240" w:h="15840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A411E"/>
    <w:multiLevelType w:val="hybridMultilevel"/>
    <w:tmpl w:val="66F2BBE4"/>
    <w:lvl w:ilvl="0" w:tplc="D57EC030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65"/>
    <w:rsid w:val="000178BB"/>
    <w:rsid w:val="00080401"/>
    <w:rsid w:val="00220FF5"/>
    <w:rsid w:val="002D3737"/>
    <w:rsid w:val="002F6BBD"/>
    <w:rsid w:val="00356FBF"/>
    <w:rsid w:val="003E3867"/>
    <w:rsid w:val="004B1D0C"/>
    <w:rsid w:val="005048B5"/>
    <w:rsid w:val="00583D6B"/>
    <w:rsid w:val="00621330"/>
    <w:rsid w:val="00711D7D"/>
    <w:rsid w:val="007B0998"/>
    <w:rsid w:val="007E3475"/>
    <w:rsid w:val="008616AD"/>
    <w:rsid w:val="008B3702"/>
    <w:rsid w:val="0094153E"/>
    <w:rsid w:val="009E027F"/>
    <w:rsid w:val="00A23A49"/>
    <w:rsid w:val="00A51285"/>
    <w:rsid w:val="00BF13D1"/>
    <w:rsid w:val="00C55F65"/>
    <w:rsid w:val="00C63303"/>
    <w:rsid w:val="00C84D86"/>
    <w:rsid w:val="00C93F1F"/>
    <w:rsid w:val="00D073DB"/>
    <w:rsid w:val="00D24673"/>
    <w:rsid w:val="00F15618"/>
    <w:rsid w:val="00F20038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178BB"/>
    <w:rPr>
      <w:rFonts w:ascii="Times New Roman" w:hAnsi="Times New Roman" w:cs="Times New Roman"/>
      <w:b/>
      <w:color w:val="008080"/>
    </w:rPr>
  </w:style>
  <w:style w:type="table" w:styleId="a4">
    <w:name w:val="Table Grid"/>
    <w:basedOn w:val="a1"/>
    <w:locked/>
    <w:rsid w:val="00D073D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A23A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A23A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23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link w:val="a7"/>
    <w:qFormat/>
    <w:rsid w:val="00A23A49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A23A4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16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16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0178BB"/>
    <w:rPr>
      <w:rFonts w:ascii="Times New Roman" w:hAnsi="Times New Roman" w:cs="Times New Roman"/>
      <w:b/>
      <w:color w:val="008080"/>
    </w:rPr>
  </w:style>
  <w:style w:type="table" w:styleId="a4">
    <w:name w:val="Table Grid"/>
    <w:basedOn w:val="a1"/>
    <w:locked/>
    <w:rsid w:val="00D073D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A23A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A23A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23A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link w:val="a7"/>
    <w:qFormat/>
    <w:rsid w:val="00A23A49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A23A4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16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61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3</cp:lastModifiedBy>
  <cp:revision>2</cp:revision>
  <cp:lastPrinted>2016-05-24T09:18:00Z</cp:lastPrinted>
  <dcterms:created xsi:type="dcterms:W3CDTF">2016-05-26T06:46:00Z</dcterms:created>
  <dcterms:modified xsi:type="dcterms:W3CDTF">2016-05-26T06:46:00Z</dcterms:modified>
</cp:coreProperties>
</file>