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D2" w:rsidRPr="007C4391" w:rsidRDefault="000A15D2" w:rsidP="000A15D2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ECCC887" wp14:editId="2135B371">
            <wp:simplePos x="0" y="0"/>
            <wp:positionH relativeFrom="column">
              <wp:posOffset>2719070</wp:posOffset>
            </wp:positionH>
            <wp:positionV relativeFrom="paragraph">
              <wp:posOffset>-378460</wp:posOffset>
            </wp:positionV>
            <wp:extent cx="561975" cy="67282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9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5D2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="007C4391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         </w:t>
      </w:r>
    </w:p>
    <w:p w:rsidR="000A15D2" w:rsidRPr="000A15D2" w:rsidRDefault="000A15D2" w:rsidP="000A15D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0A15D2" w:rsidRPr="00F66910" w:rsidRDefault="000A15D2" w:rsidP="000A1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E451D1" w:rsidRPr="00F66910" w:rsidRDefault="00E451D1" w:rsidP="000A1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</w:p>
    <w:p w:rsidR="000A15D2" w:rsidRPr="00F66910" w:rsidRDefault="000A15D2" w:rsidP="000A1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 муниципального района</w:t>
      </w:r>
    </w:p>
    <w:p w:rsidR="000A15D2" w:rsidRPr="00F66910" w:rsidRDefault="000A15D2" w:rsidP="000A1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0A15D2" w:rsidRPr="00F66910" w:rsidRDefault="000A15D2" w:rsidP="000A15D2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A15D2" w:rsidRPr="000A15D2" w:rsidRDefault="000A15D2" w:rsidP="000A15D2">
      <w:pPr>
        <w:shd w:val="clear" w:color="auto" w:fill="FFFFFF"/>
        <w:spacing w:before="298"/>
        <w:ind w:left="-567"/>
        <w:rPr>
          <w:rFonts w:ascii="Calibri" w:eastAsia="Times New Roman" w:hAnsi="Calibri" w:cs="Times New Roman"/>
          <w:color w:val="000000"/>
          <w:sz w:val="28"/>
          <w:lang w:eastAsia="ru-RU"/>
        </w:rPr>
      </w:pPr>
      <w:r>
        <w:rPr>
          <w:rFonts w:ascii="Bookman Old Style" w:eastAsia="Times New Roman" w:hAnsi="Bookman Old Style" w:cs="Times New Roman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AB9C1" wp14:editId="7C44D1F7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065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DB0D" wp14:editId="34DB83E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1590" r="2476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0A15D2" w:rsidRPr="00F66910" w:rsidRDefault="00E451D1" w:rsidP="0098546D">
      <w:pPr>
        <w:shd w:val="clear" w:color="auto" w:fill="FFFFFF"/>
        <w:spacing w:before="29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F1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17ECF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.11.201</w:t>
      </w:r>
      <w:r w:rsidR="00DF1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7ECF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7C4391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="0098546D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0A15D2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 </w:t>
      </w:r>
      <w:r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F1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64</w:t>
      </w:r>
    </w:p>
    <w:p w:rsidR="000A15D2" w:rsidRPr="000A15D2" w:rsidRDefault="000A15D2" w:rsidP="000A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D2" w:rsidRPr="00F66910" w:rsidRDefault="000A15D2" w:rsidP="000A15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О прогнозе социально-экономического развития</w:t>
      </w:r>
    </w:p>
    <w:p w:rsidR="00E451D1" w:rsidRPr="00F66910" w:rsidRDefault="00E451D1" w:rsidP="000A15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сельсовета</w:t>
      </w:r>
    </w:p>
    <w:p w:rsidR="00E451D1" w:rsidRPr="00F66910" w:rsidRDefault="000A15D2" w:rsidP="000A15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Большемурашкинского муниципального района Нижегородской области </w:t>
      </w:r>
    </w:p>
    <w:p w:rsidR="0098546D" w:rsidRDefault="00DF13EA" w:rsidP="000A15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13EA">
        <w:rPr>
          <w:rFonts w:ascii="Arial" w:eastAsia="Times New Roman" w:hAnsi="Arial" w:cs="Arial"/>
          <w:b/>
          <w:sz w:val="24"/>
          <w:szCs w:val="24"/>
          <w:lang w:eastAsia="ru-RU"/>
        </w:rPr>
        <w:t>на 2020 год и на плановый период 2021 и  2022 годов и на период до 2024 года</w:t>
      </w:r>
    </w:p>
    <w:p w:rsidR="00DF13EA" w:rsidRDefault="00DF13EA" w:rsidP="000A15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13EA" w:rsidRPr="00F66910" w:rsidRDefault="00DF13EA" w:rsidP="000A15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1EF4" w:rsidRPr="00F66910" w:rsidRDefault="0098546D" w:rsidP="00281E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>Бюджетным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фе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деральным законом от 28.06.2014 г.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172-ФЗ «О стратегическом планировании в Российской Федерации»,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Нижегородской области от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.03.2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015 года № 24-З «О стратегическом планировании в Нижегородской области»,  и в целях формирования бюджета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сельсовета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DF13EA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год на плановый период 20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F13E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и 202</w:t>
      </w:r>
      <w:r w:rsidR="00DF13E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годов, администрация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A15D2"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я е т:</w:t>
      </w:r>
    </w:p>
    <w:p w:rsidR="000A15D2" w:rsidRPr="00F66910" w:rsidRDefault="0098546D" w:rsidP="006E06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1.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Одобрить </w:t>
      </w:r>
      <w:r w:rsidR="006E06DC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</w:t>
      </w:r>
      <w:r w:rsidR="00281EF4" w:rsidRPr="00F66910">
        <w:rPr>
          <w:rFonts w:ascii="Arial" w:eastAsia="Times New Roman" w:hAnsi="Arial" w:cs="Arial"/>
          <w:sz w:val="24"/>
          <w:szCs w:val="24"/>
          <w:lang w:eastAsia="ru-RU"/>
        </w:rPr>
        <w:t>их показателей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 </w:t>
      </w:r>
      <w:r w:rsidR="006E06DC" w:rsidRPr="006E06DC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  <w:r w:rsidR="006E0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06DC" w:rsidRPr="006E06DC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Нижегородской области </w:t>
      </w:r>
      <w:bookmarkStart w:id="0" w:name="_GoBack"/>
      <w:bookmarkEnd w:id="0"/>
      <w:r w:rsidR="006E06DC" w:rsidRPr="006E06DC">
        <w:rPr>
          <w:rFonts w:ascii="Arial" w:eastAsia="Times New Roman" w:hAnsi="Arial" w:cs="Arial"/>
          <w:sz w:val="24"/>
          <w:szCs w:val="24"/>
          <w:lang w:eastAsia="ru-RU"/>
        </w:rPr>
        <w:t>на 2020 год и на плановый период 2021 и  2022 годов и на период до 2024 года</w:t>
      </w:r>
      <w:r w:rsidR="004833CB" w:rsidRPr="00F669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15D2" w:rsidRPr="00F66910" w:rsidRDefault="0098546D" w:rsidP="00985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</w:t>
      </w:r>
      <w:r w:rsidR="00E451D1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1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A15D2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азме</w:t>
      </w:r>
      <w:r w:rsidR="00DF1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стить</w:t>
      </w:r>
      <w:r w:rsidR="000A15D2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</w:t>
      </w:r>
      <w:r w:rsidR="00DF1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A15D2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</w:t>
      </w:r>
      <w:r w:rsidR="00DF1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A15D2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администрации в информационно-телекоммуникационной сети Интернет.</w:t>
      </w:r>
    </w:p>
    <w:p w:rsidR="000A15D2" w:rsidRPr="00F66910" w:rsidRDefault="0098546D" w:rsidP="00985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3.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  за   исполнением   настоящего   постановления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15D2" w:rsidRPr="00F66910" w:rsidRDefault="000A15D2" w:rsidP="000A1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5D2" w:rsidRPr="00F66910" w:rsidRDefault="000A15D2" w:rsidP="000A1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391" w:rsidRPr="00F66910" w:rsidRDefault="007C4391" w:rsidP="000A1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5D2" w:rsidRPr="00F66910" w:rsidRDefault="000A15D2" w:rsidP="000A1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98546D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DF13EA">
        <w:rPr>
          <w:rFonts w:ascii="Arial" w:eastAsia="Times New Roman" w:hAnsi="Arial" w:cs="Arial"/>
          <w:sz w:val="24"/>
          <w:szCs w:val="24"/>
          <w:lang w:eastAsia="ru-RU"/>
        </w:rPr>
        <w:t>Н.В. Курагина</w:t>
      </w:r>
    </w:p>
    <w:p w:rsidR="0098546D" w:rsidRPr="00F66910" w:rsidRDefault="0098546D" w:rsidP="000A15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546D" w:rsidRDefault="0098546D" w:rsidP="000A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D" w:rsidRDefault="0098546D" w:rsidP="000A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D" w:rsidRDefault="0098546D" w:rsidP="000A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46D" w:rsidSect="00F66910">
          <w:pgSz w:w="11906" w:h="16838"/>
          <w:pgMar w:top="851" w:right="851" w:bottom="851" w:left="1418" w:header="720" w:footer="720" w:gutter="0"/>
          <w:pgNumType w:start="1"/>
          <w:cols w:space="720"/>
        </w:sectPr>
      </w:pPr>
    </w:p>
    <w:tbl>
      <w:tblPr>
        <w:tblW w:w="1625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"/>
        <w:gridCol w:w="3544"/>
        <w:gridCol w:w="791"/>
        <w:gridCol w:w="1015"/>
        <w:gridCol w:w="8"/>
        <w:gridCol w:w="7"/>
        <w:gridCol w:w="672"/>
        <w:gridCol w:w="446"/>
        <w:gridCol w:w="8"/>
        <w:gridCol w:w="7"/>
        <w:gridCol w:w="16"/>
        <w:gridCol w:w="1107"/>
        <w:gridCol w:w="21"/>
        <w:gridCol w:w="6"/>
        <w:gridCol w:w="53"/>
        <w:gridCol w:w="914"/>
        <w:gridCol w:w="25"/>
        <w:gridCol w:w="997"/>
        <w:gridCol w:w="111"/>
        <w:gridCol w:w="1026"/>
        <w:gridCol w:w="106"/>
        <w:gridCol w:w="887"/>
        <w:gridCol w:w="105"/>
        <w:gridCol w:w="1311"/>
        <w:gridCol w:w="104"/>
        <w:gridCol w:w="889"/>
        <w:gridCol w:w="104"/>
        <w:gridCol w:w="984"/>
        <w:gridCol w:w="960"/>
      </w:tblGrid>
      <w:tr w:rsidR="008E6B0F" w:rsidRPr="008E6B0F" w:rsidTr="004A19B8">
        <w:trPr>
          <w:gridBefore w:val="1"/>
          <w:wBefore w:w="30" w:type="dxa"/>
          <w:trHeight w:val="435"/>
        </w:trPr>
        <w:tc>
          <w:tcPr>
            <w:tcW w:w="1622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B0F" w:rsidRPr="008E6B0F" w:rsidRDefault="008E6B0F" w:rsidP="008E6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" w:name="RANGE!A1:L56"/>
            <w:r w:rsidRPr="008E6B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ПРОГНОЗ</w:t>
            </w:r>
            <w:bookmarkEnd w:id="1"/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1"/>
          <w:wAfter w:w="960" w:type="dxa"/>
          <w:trHeight w:val="233"/>
        </w:trPr>
        <w:tc>
          <w:tcPr>
            <w:tcW w:w="1529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 xml:space="preserve">социально-экономического развития территории </w:t>
            </w:r>
            <w:r w:rsidR="00DF13EA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Советского сельсовета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 xml:space="preserve"> на среднесрочный период</w:t>
            </w: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1"/>
          <w:wAfter w:w="960" w:type="dxa"/>
          <w:trHeight w:val="252"/>
        </w:trPr>
        <w:tc>
          <w:tcPr>
            <w:tcW w:w="1529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8"/>
                <w:szCs w:val="28"/>
              </w:rPr>
              <w:t xml:space="preserve"> (на 2020 год и на плановый период 2021 и 2022 годов) и на период до 2024 года</w:t>
            </w: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2"/>
          <w:wAfter w:w="1944" w:type="dxa"/>
          <w:trHeight w:val="166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730"/>
        </w:trPr>
        <w:tc>
          <w:tcPr>
            <w:tcW w:w="357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2018 год (отчет)</w:t>
            </w:r>
          </w:p>
        </w:tc>
        <w:tc>
          <w:tcPr>
            <w:tcW w:w="22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 год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Приме-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чание</w:t>
            </w:r>
            <w:proofErr w:type="spellEnd"/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730"/>
        </w:trPr>
        <w:tc>
          <w:tcPr>
            <w:tcW w:w="357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Отчет. данные на 01.07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Оценка за год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прогноз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прогноз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прогноз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Прогноз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прогноз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1"/>
          <w:wAfter w:w="960" w:type="dxa"/>
          <w:trHeight w:val="730"/>
        </w:trPr>
        <w:tc>
          <w:tcPr>
            <w:tcW w:w="15294" w:type="dxa"/>
            <w:gridSpan w:val="28"/>
            <w:tcBorders>
              <w:left w:val="single" w:sz="12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1.Отгружено товаров собственного производства, выполнено работ и услуг собственными силами (по крупным и средним предприятий)</w:t>
            </w: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43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действующих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240718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179091,4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374713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397987,1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423646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450820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477371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ind w:left="1105" w:hanging="110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501972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43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сопоставимых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149,7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437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1"/>
          <w:wAfter w:w="960" w:type="dxa"/>
          <w:trHeight w:val="749"/>
        </w:trPr>
        <w:tc>
          <w:tcPr>
            <w:tcW w:w="15294" w:type="dxa"/>
            <w:gridSpan w:val="28"/>
            <w:tcBorders>
              <w:left w:val="single" w:sz="12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8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действующих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241338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179091,4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375433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398660,1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424316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451520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478071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502672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8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в сопоставимых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149,6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50"/>
        </w:trPr>
        <w:tc>
          <w:tcPr>
            <w:tcW w:w="539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Сельское хозяйство, охота и лесное хозяйство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8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действующих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216016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166364,4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348721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370650,1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394760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420360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445260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468060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8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сопоставимых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98,3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139,2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2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8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действующих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тыс.</w:t>
            </w:r>
          </w:p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5270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8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сопоставимых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72,9</w:t>
            </w: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622"/>
        </w:trPr>
        <w:tc>
          <w:tcPr>
            <w:tcW w:w="7672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8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действующих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Pr="005C66A3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C66A3">
              <w:rPr>
                <w:rFonts w:ascii="Arial" w:hAnsi="Arial" w:cs="Arial"/>
                <w:color w:val="000000"/>
              </w:rPr>
              <w:t>тыс.</w:t>
            </w:r>
          </w:p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C66A3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12765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8125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13541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15150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16125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17121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8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сопоставимых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98,3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8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Другие виды деятельности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8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действующих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Pr="005C66A3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C66A3">
              <w:rPr>
                <w:rFonts w:ascii="Arial" w:hAnsi="Arial" w:cs="Arial"/>
                <w:color w:val="000000"/>
              </w:rPr>
              <w:t>тыс.</w:t>
            </w:r>
          </w:p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C66A3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8617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4235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8991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10245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10680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11128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8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сопоставимых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100,1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622"/>
        </w:trPr>
        <w:tc>
          <w:tcPr>
            <w:tcW w:w="11797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Валовая продукция сельского хозяйства по сельскохозяйственным предприятиям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41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действующих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Pr="005C66A3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C66A3">
              <w:rPr>
                <w:rFonts w:ascii="Arial" w:hAnsi="Arial" w:cs="Arial"/>
                <w:color w:val="000000"/>
              </w:rPr>
              <w:t>тыс.</w:t>
            </w:r>
          </w:p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C66A3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372176,2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127431,1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478271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500374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525121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549403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574236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599594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7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сопоставимых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51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4.Численность работников по территории, формирующих ФОТ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чел.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51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 численность бюджетников, финансируемых из бюджетов всех уровней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чел.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47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5.Фонд заработной платы, всего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тыс. руб.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85135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45912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96201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101250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108669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116632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125179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134482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466"/>
        </w:trPr>
        <w:tc>
          <w:tcPr>
            <w:tcW w:w="35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т. ч. фонд заработной платы бюджетников, финансируемых из всех уровней бюджетов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Pr="005C66A3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C66A3">
              <w:rPr>
                <w:rFonts w:ascii="Arial" w:hAnsi="Arial" w:cs="Arial"/>
                <w:i/>
                <w:iCs/>
                <w:color w:val="000000"/>
              </w:rPr>
              <w:t>тыс.</w:t>
            </w:r>
          </w:p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C66A3">
              <w:rPr>
                <w:rFonts w:ascii="Arial" w:hAnsi="Arial" w:cs="Arial"/>
                <w:i/>
                <w:iCs/>
                <w:color w:val="000000"/>
              </w:rPr>
              <w:t>руб.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20010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11330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22898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26776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28738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30844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33104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35565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51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Среднемесячная заработная плата одного работающего, всего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28236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25798,5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29365,4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30906,5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33171,3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35602,2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38211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41050,8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446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6. Реальная заработная плата 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%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518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7.Прибыль прибыльных организаций - всего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Pr="005C66A3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C66A3">
              <w:rPr>
                <w:rFonts w:ascii="Arial" w:hAnsi="Arial" w:cs="Arial"/>
                <w:i/>
                <w:iCs/>
                <w:color w:val="000000"/>
              </w:rPr>
              <w:t>тыс.</w:t>
            </w:r>
          </w:p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5C66A3">
              <w:rPr>
                <w:rFonts w:ascii="Arial" w:hAnsi="Arial" w:cs="Arial"/>
                <w:i/>
                <w:iCs/>
                <w:color w:val="000000"/>
              </w:rPr>
              <w:t>руб.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50538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89076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112860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112900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113400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113950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114241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114456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1"/>
          <w:wAfter w:w="960" w:type="dxa"/>
          <w:trHeight w:val="564"/>
        </w:trPr>
        <w:tc>
          <w:tcPr>
            <w:tcW w:w="15294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  Инвестиции в основной капитал по территории за счет всех источников финансирования (по полному кругу предприятий) - всего</w:t>
            </w: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7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 действующих ценах каждого года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млн.</w:t>
            </w:r>
          </w:p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74,873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93,345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130,87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140,19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164,48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173,31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29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в сопоставимых ценах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в % к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пред году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86,7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22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VII. ДЕМОГРАФИЯ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28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1883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1768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5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Естественный прирост (убыль) населения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29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Коэффициент естественного прироста (убыли) населения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 1000 населения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-21,7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-39,18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-7,22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-8,97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-2,26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-4,54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70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Число родившихся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27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 1000 населения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5,42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5,66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7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Число умерших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7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 1000 населения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22,24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28,14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8,34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6,79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6,82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79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Миграционный прирост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41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 1000 населения</w:t>
            </w:r>
          </w:p>
        </w:tc>
        <w:tc>
          <w:tcPr>
            <w:tcW w:w="11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-4,88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-17,66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-3,33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-6,73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-5,08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-1,13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-3,41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41"/>
        </w:trPr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Глава администрации       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Курагина Н.В.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350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19B8" w:rsidTr="004A19B8">
        <w:tblPrEx>
          <w:tblCellMar>
            <w:left w:w="30" w:type="dxa"/>
            <w:right w:w="30" w:type="dxa"/>
          </w:tblCellMar>
        </w:tblPrEx>
        <w:trPr>
          <w:gridAfter w:val="3"/>
          <w:wAfter w:w="2048" w:type="dxa"/>
          <w:trHeight w:val="204"/>
        </w:trPr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Глава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Красильникова Н.Е.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9B8" w:rsidRDefault="004A19B8" w:rsidP="00637B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66910" w:rsidRDefault="00F66910" w:rsidP="008E6B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66910" w:rsidSect="008E6B0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4A19B8" w:rsidRPr="004A19B8" w:rsidRDefault="004A19B8" w:rsidP="004A19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4A19B8" w:rsidRPr="004A19B8" w:rsidRDefault="004A19B8" w:rsidP="004A19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b/>
          <w:sz w:val="24"/>
          <w:szCs w:val="24"/>
          <w:lang w:eastAsia="ru-RU"/>
        </w:rPr>
        <w:t>к прогнозу социально-экономического развития территории</w:t>
      </w:r>
    </w:p>
    <w:p w:rsidR="004A19B8" w:rsidRPr="004A19B8" w:rsidRDefault="004A19B8" w:rsidP="004A19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Советского сельсовета Большемурашкинского муниципального района Нижегородской области  на 2020 год и на плановый период </w:t>
      </w:r>
    </w:p>
    <w:p w:rsidR="004A19B8" w:rsidRPr="004A19B8" w:rsidRDefault="004A19B8" w:rsidP="004A19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2021 и 2022 годов и  на период до 2024 года </w:t>
      </w:r>
    </w:p>
    <w:p w:rsidR="004A19B8" w:rsidRPr="004A19B8" w:rsidRDefault="004A19B8" w:rsidP="004A19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 Формирование прогноза социально-экономического развития Советского сельсовета Большемурашкинского муниципального района Нижегородской области на очередной  год и плановый период осуществляется в соответствии с решением сельского Совета Советского сельсовета Большемурашкинского муниципального района Нижегородской области № 30 от 20.10.2014 года «О бюджетном процессе в Советском сельсовете Большемурашкинского муниципального района Нижегородской области», постановлением администрации Советского сельсовета № 100 от 14.11.2013 года «Об утверждении порядка разработки прогноза социально-экономического развития Советского сельсовета Большемурашкинского муниципального района на очередной финансовый год  и на плановый период» и требованиями Бюджетного Кодекса Российской Федерации, бюджетного законодательства Нижегородской области, Большемурашкинского района, Советского сельсовета.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Прогноз социально-экономического развития осуществляется в целях совершенствования системы прогнозирования социально-экономической ситуации в Советском сельсовете Большемурашкинского муниципального района, как основы для принятия управленческих решений по формированию и реализации государственной экономической политики на территории поселения. Данный прогноз основан на анализе фактической динамики показателей за предыдущий год и на основе макроэкономических пропорций развития поселения.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В 2018 году отгружено товаров собственного производства в действующих ценах на сумму 241338 тыс. рублей, в сопоставимых ценах 117%.  По крупным и средним предприятиям этот показатель равен 240718 тыс. рублей, в сопоставимых ценах 110 %.  В разрезе видов деятельности на сельское  хозяйство приходится 216016 тыс. рублей,  в сопоставимых ценах 98,3 %. Производство и распределение электроэнергии в действующих ценах составило 12765 тыс. рублей, в сопоставимых ценах 101,3%, обрабатывающие производства – 3940 тыс. рублей, в сопоставимых ценах 57,0%, другие виды деятельности - 8617 тыс.   рублей, в сопоставимых ценах 100,1 %.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Объем валовой продукции сельского хозяйства по сельскохозяйственным предприятиям в действующих ценах равен 372176,2 тыс. рублей, в сопоставимых ценах 119,0 %.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Численность работников на территории поселения 275 человек, в том числе численность работников  бюджетной сферы  -  75 человек.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Фонд заработной платы всего составил 85135 тыс. рублей, в том числе фонд заработной платы бюджетников равен 20010 тыс. рублей.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Среднемесячная заработная плата на одного работающего 28236 рублей в  целом по поселению.  Реальная  заработная плата составила 104,5 % к уровню 2017 года.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Прибыль прибыльных организаций 50538 тыс. рублей, убыток убыточных организаций 0 тыс. рублей. Прибыльным является сельхозпредприятие ООО племзавод «Большемурашкинский», МУП ЖКХ п. Советский.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Численность населения Советского сельсовета на 01.01.2018 г. составляла 1914 человек.  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Оценка 2019 года и прогноз 2020-2022 годов составлен с учетом динамики показателей 1 полугодия 2019 года и предыдущих периодов, а также на основании перспективных, аналитических и прогнозных данных предприятий поселения.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По отгрузке товаров по полному кругу предприятий в 2019 году сумма составит 375432,,8 тыс. рублей или 149,6%, в том числе по крупным и средним предприятиям 374713,0 тыс. рублей или 149,7% к уровню 2018 года в сопоставимых ценах.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Прогноз на 2020 год составит по крупным и средним предприятиям 397987,1. рублей или 102,1% к предыдущему году в сопоставимых ценах, в 2021 году-423646 тыс. рублей или 102,3 %, в 2022году- 450820,0 тыс. рублей или 102,3 %. По полному кругу предприятий прогноз 2020 года составит 398660,1 тыс. рублей или 102,1 %, в 2021 году- 424316,0 тыс. рублей или 102,3 %, в 2022 году -451520,0 тыс. рублей или 102,3%.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Оценка 2019 года по производству валовой продукции сельского хозяйства просчитана с учетом данным управления сельского хозяйства. Объем валовой продукции сельскохозяйственных предприятий составит 478271,0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Прогноз 2020-2022 годов  просчитан с тенденцией увеличения производства сельскохозяйственной  продукции: в 2020 году-100,6 %, в 2021 году- 100,9 %, в 2022 году 100,6%. 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Фонд заработной платы по итогам 2019 года по полному кругу организаций составит 96201,0 тыс. рублей  или 108,6  % к факту 2018 года, 2020 год-101250 тыс. рублей или 101,2 %,  2021 год- 108669 тыс. рублей или 103,2 %, 2022 год – 116632  тыс. рублей или 103,2%.  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Оценка 2019 года по прибыли прибыльных предприятий составит 112860 тыс. рублей. По прогнозу 2020 года  прибыль составит 112900 тыс. рублей, в 2021 году- 113400 тыс. рублей, в 2022 году- 113950 тыс. рублей   за счет увеличения прибыли прибыльных предприятий.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Численность населения на территории поселения, в том числе и работающего, по оценке 2019 года, прогнозируется на снижение  вследствие миграционных процессов и естественной убыли.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Основными проблемными вопросами, требующими решения, остаются: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во-первых, высокая степень износа основных фондов предприятий, особенно в ЖКХ (водопроводных и тепловых сетей); 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во-вторых, неудовлетворительное состояние дорог в населенных пунктах поселения; 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>в- третьих, большой процент износа значительной части объектов социальной сферы, жилищного фонда, в частности крыш.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 В 2019 году средства муниципального дорожного фонда в  сумме 1022,1 тыс. рублей. были направлены: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-  на  ремонт дорог, в том числе: асфальтирование дороги от дома 37 до дома 24 в  п. Советский  в сумме 525,2 тыс. рублей, на благоустройство дворовых территорий у домов № 22 -152,4 тыс. руб.; у д. № 17-18 – 48,7 тыс. руб., ямочный ремонт  - 6,7 тыс. руб. </w:t>
      </w:r>
    </w:p>
    <w:p w:rsidR="004A19B8" w:rsidRP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>- на содержание дорог местного значения (очистка от снега, обкашивание обочин( - 289,1 тыс. руб.</w:t>
      </w:r>
    </w:p>
    <w:p w:rsidR="004A19B8" w:rsidRDefault="004A19B8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 xml:space="preserve">      В числе перспективных направлений в развитии поселения на среднесрочную перспективу  является  финансовое оздоровление предприятий. В связи с созданием муниципального дорожного фонда Советского сельсовета планируется проведение   ремонта автомобильных дорог местного значения и ремонт дворовых территорий многоквартирных домов, проездов к  дворовым территориям многоквартирных домов.</w:t>
      </w:r>
    </w:p>
    <w:p w:rsidR="00DF13EA" w:rsidRDefault="00DF13EA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3EA" w:rsidRPr="004A19B8" w:rsidRDefault="00DF13EA" w:rsidP="004A19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19B8" w:rsidRPr="004A19B8" w:rsidRDefault="004A19B8" w:rsidP="004A19B8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4A19B8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Советского сельсовета                             Н.В.</w:t>
      </w:r>
      <w:r w:rsidR="00DF13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19B8">
        <w:rPr>
          <w:rFonts w:ascii="Arial" w:eastAsia="Times New Roman" w:hAnsi="Arial" w:cs="Arial"/>
          <w:sz w:val="24"/>
          <w:szCs w:val="24"/>
          <w:lang w:eastAsia="ru-RU"/>
        </w:rPr>
        <w:t>Курагина</w:t>
      </w:r>
    </w:p>
    <w:p w:rsidR="0098546D" w:rsidRPr="0098546D" w:rsidRDefault="0098546D" w:rsidP="004A1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546D" w:rsidRPr="0098546D" w:rsidSect="00DF13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E4" w:rsidRDefault="006136E4" w:rsidP="007C4391">
      <w:pPr>
        <w:spacing w:after="0" w:line="240" w:lineRule="auto"/>
      </w:pPr>
      <w:r>
        <w:separator/>
      </w:r>
    </w:p>
  </w:endnote>
  <w:endnote w:type="continuationSeparator" w:id="0">
    <w:p w:rsidR="006136E4" w:rsidRDefault="006136E4" w:rsidP="007C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E4" w:rsidRDefault="006136E4" w:rsidP="007C4391">
      <w:pPr>
        <w:spacing w:after="0" w:line="240" w:lineRule="auto"/>
      </w:pPr>
      <w:r>
        <w:separator/>
      </w:r>
    </w:p>
  </w:footnote>
  <w:footnote w:type="continuationSeparator" w:id="0">
    <w:p w:rsidR="006136E4" w:rsidRDefault="006136E4" w:rsidP="007C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116"/>
    <w:multiLevelType w:val="hybridMultilevel"/>
    <w:tmpl w:val="1CB6EEE6"/>
    <w:lvl w:ilvl="0" w:tplc="B49E82BE">
      <w:start w:val="1"/>
      <w:numFmt w:val="decimal"/>
      <w:lvlText w:val="%1."/>
      <w:lvlJc w:val="left"/>
      <w:pPr>
        <w:ind w:left="816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2026A"/>
    <w:multiLevelType w:val="hybridMultilevel"/>
    <w:tmpl w:val="3F40075E"/>
    <w:lvl w:ilvl="0" w:tplc="EFD444F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22"/>
    <w:rsid w:val="00004022"/>
    <w:rsid w:val="000A15D2"/>
    <w:rsid w:val="001161E3"/>
    <w:rsid w:val="00281EF4"/>
    <w:rsid w:val="00361B82"/>
    <w:rsid w:val="004833CB"/>
    <w:rsid w:val="004A19B8"/>
    <w:rsid w:val="00545C06"/>
    <w:rsid w:val="006136E4"/>
    <w:rsid w:val="006A6AF5"/>
    <w:rsid w:val="006E06DC"/>
    <w:rsid w:val="006F59B5"/>
    <w:rsid w:val="007C4391"/>
    <w:rsid w:val="0084264E"/>
    <w:rsid w:val="008728CA"/>
    <w:rsid w:val="008E6B0F"/>
    <w:rsid w:val="00917ECF"/>
    <w:rsid w:val="0098546D"/>
    <w:rsid w:val="009A3BF9"/>
    <w:rsid w:val="00AF4ABB"/>
    <w:rsid w:val="00BA3B41"/>
    <w:rsid w:val="00BC580A"/>
    <w:rsid w:val="00C42B1D"/>
    <w:rsid w:val="00D8149F"/>
    <w:rsid w:val="00DB077F"/>
    <w:rsid w:val="00DF13EA"/>
    <w:rsid w:val="00E33EBE"/>
    <w:rsid w:val="00E451D1"/>
    <w:rsid w:val="00F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391"/>
  </w:style>
  <w:style w:type="paragraph" w:styleId="a5">
    <w:name w:val="footer"/>
    <w:basedOn w:val="a"/>
    <w:link w:val="a6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391"/>
  </w:style>
  <w:style w:type="paragraph" w:styleId="a7">
    <w:name w:val="List Paragraph"/>
    <w:basedOn w:val="a"/>
    <w:uiPriority w:val="34"/>
    <w:qFormat/>
    <w:rsid w:val="00281EF4"/>
    <w:pPr>
      <w:ind w:left="720"/>
      <w:contextualSpacing/>
    </w:pPr>
  </w:style>
  <w:style w:type="paragraph" w:styleId="a8">
    <w:name w:val="Normal (Web)"/>
    <w:basedOn w:val="a"/>
    <w:semiHidden/>
    <w:unhideWhenUsed/>
    <w:rsid w:val="0098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391"/>
  </w:style>
  <w:style w:type="paragraph" w:styleId="a5">
    <w:name w:val="footer"/>
    <w:basedOn w:val="a"/>
    <w:link w:val="a6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391"/>
  </w:style>
  <w:style w:type="paragraph" w:styleId="a7">
    <w:name w:val="List Paragraph"/>
    <w:basedOn w:val="a"/>
    <w:uiPriority w:val="34"/>
    <w:qFormat/>
    <w:rsid w:val="00281EF4"/>
    <w:pPr>
      <w:ind w:left="720"/>
      <w:contextualSpacing/>
    </w:pPr>
  </w:style>
  <w:style w:type="paragraph" w:styleId="a8">
    <w:name w:val="Normal (Web)"/>
    <w:basedOn w:val="a"/>
    <w:semiHidden/>
    <w:unhideWhenUsed/>
    <w:rsid w:val="0098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Sovetskaya_adm</cp:lastModifiedBy>
  <cp:revision>18</cp:revision>
  <cp:lastPrinted>2019-11-12T13:16:00Z</cp:lastPrinted>
  <dcterms:created xsi:type="dcterms:W3CDTF">2018-01-23T10:51:00Z</dcterms:created>
  <dcterms:modified xsi:type="dcterms:W3CDTF">2019-11-12T13:19:00Z</dcterms:modified>
</cp:coreProperties>
</file>